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FFFFFF"/>
        <w:spacing w:lineRule="auto" w:line="276"/>
        <w:ind w:left="0" w:hanging="0"/>
        <w:jc w:val="center"/>
        <w:rPr>
          <w:sz w:val="28"/>
          <w:szCs w:val="28"/>
        </w:rPr>
      </w:pPr>
      <w:r>
        <w:rPr>
          <w:sz w:val="28"/>
          <w:szCs w:val="28"/>
        </w:rPr>
      </w:r>
    </w:p>
    <w:p>
      <w:pPr>
        <w:pStyle w:val="Heading3"/>
        <w:numPr>
          <w:ilvl w:val="0"/>
          <w:numId w:val="0"/>
        </w:numPr>
        <w:shd w:val="clear" w:color="auto" w:fill="FFFFFF"/>
        <w:spacing w:lineRule="auto" w:line="276"/>
        <w:ind w:left="0" w:hanging="0"/>
        <w:jc w:val="center"/>
        <w:rPr>
          <w:sz w:val="28"/>
          <w:szCs w:val="28"/>
        </w:rPr>
      </w:pPr>
      <w:bookmarkStart w:id="0" w:name="_Toc118364926122"/>
      <w:r>
        <w:rPr>
          <w:sz w:val="28"/>
          <w:szCs w:val="28"/>
          <w:lang w:val="sr-Latn-RS"/>
        </w:rPr>
        <w:t>U</w:t>
      </w:r>
      <w:bookmarkEnd w:id="0"/>
      <w:r>
        <w:rPr>
          <w:sz w:val="28"/>
          <w:szCs w:val="28"/>
          <w:lang w:val="sr-Latn-RS"/>
        </w:rPr>
        <w:t>slovi korišćenja</w:t>
      </w:r>
    </w:p>
    <w:p>
      <w:pPr>
        <w:pStyle w:val="Normal"/>
        <w:numPr>
          <w:ilvl w:val="0"/>
          <w:numId w:val="0"/>
        </w:numPr>
        <w:shd w:val="clear" w:color="auto" w:fill="FFFFFF"/>
        <w:spacing w:lineRule="auto" w:line="276"/>
        <w:ind w:left="0" w:hanging="0"/>
        <w:jc w:val="center"/>
        <w:rPr>
          <w:sz w:val="28"/>
          <w:szCs w:val="28"/>
        </w:rPr>
      </w:pPr>
      <w:r>
        <w:rPr>
          <w:sz w:val="28"/>
          <w:szCs w:val="28"/>
        </w:rPr>
      </w:r>
    </w:p>
    <w:p>
      <w:pPr>
        <w:pStyle w:val="Normal"/>
        <w:shd w:val="clear" w:color="auto" w:fill="FFFFFF"/>
        <w:spacing w:lineRule="auto" w:line="276"/>
        <w:ind w:left="0" w:hanging="0"/>
        <w:jc w:val="both"/>
        <w:rPr/>
      </w:pPr>
      <w:r>
        <w:rPr>
          <w:rFonts w:eastAsia="Times New Roman" w:cs="Times New Roman" w:ascii="Verdana" w:hAnsi="Verdana"/>
          <w:color w:val="000000"/>
          <w:sz w:val="28"/>
          <w:szCs w:val="28"/>
        </w:rPr>
        <w:t xml:space="preserve">Hvаlа što koristite naš web-sajt </w:t>
      </w:r>
      <w:r>
        <w:rPr>
          <w:rStyle w:val="InternetLink"/>
          <w:rFonts w:eastAsia="Times New Roman" w:cs="Times New Roman" w:ascii="Verdana" w:hAnsi="Verdana"/>
          <w:sz w:val="28"/>
          <w:szCs w:val="28"/>
        </w:rPr>
        <w:t>https://konferencija.ecommserbia.org/</w:t>
      </w:r>
      <w:r>
        <w:rPr>
          <w:rFonts w:eastAsia="Times New Roman" w:cs="Times New Roman" w:ascii="Verdana" w:hAnsi="Verdana"/>
          <w:color w:val="000000"/>
          <w:sz w:val="28"/>
          <w:szCs w:val="28"/>
        </w:rPr>
        <w:t>. Prodaja proizvoda putem ovog web-sajta se vrši u skladu sa ovim uslovima. Korisnici se upućuju da se pre same kupovine upoznaju sa ovim uslovima , te da iste redovno proveravaju, kako bi bili upoznati sa svim pravima i obavezama.</w:t>
      </w:r>
      <w:r>
        <w:rPr>
          <w:rFonts w:eastAsia="Helvetica Neue" w:cs="Helvetica Neue" w:ascii="Verdana" w:hAnsi="Verdana"/>
          <w:color w:val="062446"/>
          <w:sz w:val="28"/>
          <w:szCs w:val="28"/>
        </w:rPr>
        <w:t xml:space="preserve"> </w:t>
      </w:r>
      <w:r>
        <w:rPr>
          <w:rFonts w:eastAsia="Times New Roman" w:cs="Times New Roman" w:ascii="Verdana" w:hAnsi="Verdana"/>
          <w:color w:val="000000"/>
          <w:sz w:val="28"/>
          <w:szCs w:val="28"/>
        </w:rPr>
        <w:t xml:space="preserve">Korisnici konferencija.ecommserbia.org dužni su da prilikom naručivanja daju tačne, važeće i potpune podatke, dok suprotno postupanje ovlašćuje Prodavca da uskrati takvom korisniku pristup ili ostvarenje svih ili dela usluga koje nudi </w:t>
      </w:r>
      <w:hyperlink r:id="rId2">
        <w:r>
          <w:rPr>
            <w:rStyle w:val="InternetLink"/>
            <w:rFonts w:eastAsia="Times New Roman" w:cs="Times New Roman" w:ascii="Verdana" w:hAnsi="Verdana"/>
            <w:color w:val="000000"/>
            <w:sz w:val="28"/>
            <w:szCs w:val="28"/>
          </w:rPr>
          <w:t>www.evashop.rs</w:t>
        </w:r>
      </w:hyperlink>
      <w:r>
        <w:rPr>
          <w:rFonts w:eastAsia="Times New Roman" w:cs="Times New Roman" w:ascii="Verdana" w:hAnsi="Verdana"/>
          <w:color w:val="000000"/>
          <w:sz w:val="28"/>
          <w:szCs w:val="28"/>
        </w:rPr>
        <w:t>.</w:t>
      </w:r>
    </w:p>
    <w:p>
      <w:pPr>
        <w:pStyle w:val="Normal"/>
        <w:shd w:val="clear" w:color="auto" w:fill="FFFFFF"/>
        <w:spacing w:lineRule="auto" w:line="276"/>
        <w:ind w:left="0" w:hanging="0"/>
        <w:jc w:val="both"/>
        <w:rPr>
          <w:sz w:val="28"/>
          <w:szCs w:val="28"/>
        </w:rPr>
      </w:pPr>
      <w:r>
        <w:rPr>
          <w:sz w:val="28"/>
          <w:szCs w:val="28"/>
        </w:rPr>
      </w:r>
    </w:p>
    <w:p>
      <w:pPr>
        <w:pStyle w:val="Heading3"/>
        <w:numPr>
          <w:ilvl w:val="0"/>
          <w:numId w:val="0"/>
        </w:numPr>
        <w:ind w:left="1080" w:hanging="0"/>
        <w:jc w:val="center"/>
        <w:rPr>
          <w:sz w:val="28"/>
          <w:szCs w:val="28"/>
        </w:rPr>
      </w:pPr>
      <w:bookmarkStart w:id="1" w:name="_Toc11836492612"/>
      <w:r>
        <w:rPr>
          <w:sz w:val="28"/>
          <w:szCs w:val="28"/>
          <w:lang w:val="sr-Latn-RS"/>
        </w:rPr>
        <w:t>U</w:t>
      </w:r>
      <w:bookmarkEnd w:id="1"/>
      <w:r>
        <w:rPr>
          <w:sz w:val="28"/>
          <w:szCs w:val="28"/>
          <w:lang w:val="sr-Latn-RS"/>
        </w:rPr>
        <w:t>slovi plaćanja</w:t>
      </w:r>
    </w:p>
    <w:p>
      <w:pPr>
        <w:pStyle w:val="Normal"/>
        <w:numPr>
          <w:ilvl w:val="0"/>
          <w:numId w:val="0"/>
        </w:numPr>
        <w:ind w:left="1080" w:hanging="0"/>
        <w:jc w:val="center"/>
        <w:rPr>
          <w:sz w:val="28"/>
          <w:szCs w:val="28"/>
        </w:rPr>
      </w:pPr>
      <w:r>
        <w:rPr>
          <w:sz w:val="28"/>
          <w:szCs w:val="28"/>
        </w:rPr>
      </w:r>
    </w:p>
    <w:p>
      <w:pPr>
        <w:pStyle w:val="Normal"/>
        <w:rPr>
          <w:sz w:val="28"/>
          <w:szCs w:val="28"/>
        </w:rPr>
      </w:pPr>
      <w:r>
        <w:rPr>
          <w:sz w:val="28"/>
          <w:szCs w:val="28"/>
          <w:lang w:val="sr-Latn-RS"/>
        </w:rPr>
        <w:t>1. Plaćanje fakturom: zeljeni tekst:</w:t>
      </w:r>
    </w:p>
    <w:p>
      <w:pPr>
        <w:pStyle w:val="Normal"/>
        <w:rPr>
          <w:sz w:val="28"/>
          <w:szCs w:val="28"/>
        </w:rPr>
      </w:pPr>
      <w:r>
        <w:rPr>
          <w:sz w:val="28"/>
          <w:szCs w:val="28"/>
          <w:lang w:val="sr-Latn-RS"/>
        </w:rPr>
        <w:t xml:space="preserve">2. Platnom karticom (Visa, Maestro, MasterCard, Dina) – ukoliko je kupac izabrao ovaj način plaćanja, biće preusmeren na web sajt pružaoca platnih usluga na kom će izvršiti unos podataka sa platne kartice. </w:t>
      </w:r>
    </w:p>
    <w:p>
      <w:pPr>
        <w:pStyle w:val="Normal"/>
        <w:rPr>
          <w:sz w:val="28"/>
          <w:szCs w:val="28"/>
        </w:rPr>
      </w:pPr>
      <w:r>
        <w:rPr>
          <w:sz w:val="28"/>
          <w:szCs w:val="28"/>
          <w:lang w:val="sr-Latn-RS"/>
        </w:rPr>
        <w:t xml:space="preserve">Ukoliko je transakcija uspešno obavljena, kupac će dobiti potvrdu o tome, a rezervisana sredstva će nakon isporuke biti skinuta sa unete kartice. </w:t>
      </w:r>
    </w:p>
    <w:p>
      <w:pPr>
        <w:pStyle w:val="Normal"/>
        <w:rPr>
          <w:sz w:val="28"/>
          <w:szCs w:val="28"/>
        </w:rPr>
      </w:pPr>
      <w:r>
        <w:rPr>
          <w:sz w:val="28"/>
          <w:szCs w:val="28"/>
          <w:lang w:val="sr-Latn-RS"/>
        </w:rPr>
        <w:t xml:space="preserve">Iz sigurnosnih razloga, podaci o platnoj kartici potrošača su vidljivi samo pružaocu platnih usluga, ne i prodavcu, jer se kompletan proces naplate obavlja na stranici pružaoca platnih usluga. </w:t>
      </w:r>
    </w:p>
    <w:p>
      <w:pPr>
        <w:pStyle w:val="Normal"/>
        <w:rPr>
          <w:sz w:val="28"/>
          <w:szCs w:val="28"/>
        </w:rPr>
      </w:pPr>
      <w:r>
        <w:rPr>
          <w:sz w:val="28"/>
          <w:szCs w:val="28"/>
          <w:lang w:val="sr-Latn-RS"/>
        </w:rPr>
        <w:t xml:space="preserve">U slučaju vraćanja robe i povraćaja sredstava kupcu koji je prethodno izvršio plaćanje platnom karticom, prodavac je u obavezi da povraćaj vrši isključivo istom metodom plaćanja, drugim rečima, banka će na zahtev prodavca obaviti povraćaj sredstava na račun korisnika kartice. </w:t>
      </w:r>
    </w:p>
    <w:p>
      <w:pPr>
        <w:pStyle w:val="Normal"/>
        <w:rPr>
          <w:sz w:val="28"/>
          <w:szCs w:val="28"/>
        </w:rPr>
      </w:pPr>
      <w:r>
        <w:rPr>
          <w:sz w:val="28"/>
          <w:szCs w:val="28"/>
          <w:lang w:val="sr-Latn-RS"/>
        </w:rPr>
        <w:t>Internet stranica konferencija.ecommserbia.org, kao i prenos podataka na našem web sajtu zaštićeni su tehnički odnosno prodavac koristi adekvatna tehnološka i organizaciona sredstva za zaštitu prenosa i čuvanja ličnih podataka i plaćanja.</w:t>
      </w:r>
    </w:p>
    <w:p>
      <w:pPr>
        <w:pStyle w:val="Heading3"/>
        <w:numPr>
          <w:ilvl w:val="0"/>
          <w:numId w:val="0"/>
        </w:numPr>
        <w:ind w:left="1080" w:hanging="0"/>
        <w:rPr>
          <w:sz w:val="28"/>
          <w:szCs w:val="28"/>
        </w:rPr>
      </w:pPr>
      <w:r>
        <w:rPr>
          <w:sz w:val="28"/>
          <w:szCs w:val="28"/>
        </w:rPr>
        <w:br/>
      </w:r>
    </w:p>
    <w:p>
      <w:pPr>
        <w:pStyle w:val="Normal"/>
        <w:rPr>
          <w:sz w:val="28"/>
          <w:szCs w:val="28"/>
        </w:rPr>
      </w:pPr>
      <w:r>
        <w:rPr>
          <w:sz w:val="28"/>
          <w:szCs w:val="28"/>
        </w:rPr>
      </w:r>
    </w:p>
    <w:p>
      <w:pPr>
        <w:pStyle w:val="Heading3"/>
        <w:numPr>
          <w:ilvl w:val="0"/>
          <w:numId w:val="0"/>
        </w:numPr>
        <w:ind w:left="1080" w:hanging="0"/>
        <w:jc w:val="center"/>
        <w:rPr>
          <w:sz w:val="28"/>
          <w:szCs w:val="28"/>
        </w:rPr>
      </w:pPr>
      <w:bookmarkStart w:id="2" w:name="_Toc1183649261"/>
      <w:r>
        <w:rPr>
          <w:sz w:val="28"/>
          <w:szCs w:val="28"/>
        </w:rPr>
        <w:t>Zaštita podataka o finansijskoj transakciji</w:t>
      </w:r>
      <w:bookmarkEnd w:id="2"/>
    </w:p>
    <w:p>
      <w:pPr>
        <w:pStyle w:val="Normal"/>
        <w:jc w:val="both"/>
        <w:rPr>
          <w:rFonts w:ascii="Arial" w:hAnsi="Arial" w:cs="Arial"/>
          <w:sz w:val="28"/>
          <w:szCs w:val="28"/>
        </w:rPr>
      </w:pPr>
      <w:r>
        <w:rPr>
          <w:rFonts w:cs="Arial" w:ascii="Arial" w:hAnsi="Arial"/>
          <w:sz w:val="28"/>
          <w:szCs w:val="28"/>
        </w:rPr>
      </w:r>
    </w:p>
    <w:p>
      <w:pPr>
        <w:pStyle w:val="Normal"/>
        <w:jc w:val="both"/>
        <w:rPr>
          <w:sz w:val="28"/>
          <w:szCs w:val="28"/>
        </w:rPr>
      </w:pPr>
      <w:r>
        <w:rPr>
          <w:rFonts w:cs="Arial" w:ascii="Arial" w:hAnsi="Arial"/>
          <w:sz w:val="28"/>
          <w:szCs w:val="28"/>
          <w:lang w:val="sr-Latn-RS"/>
        </w:rPr>
        <w:t>konferencija.ecommserbia.org</w:t>
      </w:r>
      <w:r>
        <w:rPr>
          <w:rFonts w:cs="Arial" w:ascii="Arial" w:hAnsi="Arial"/>
          <w:sz w:val="28"/>
          <w:szCs w:val="28"/>
          <w:lang w:val="sr-Latn-CS"/>
        </w:rPr>
        <w:t xml:space="preserve"> je u obavezi da na internet prodajnom mestu predoči opis načina zaštite osetljivih finansijskih podataka o transakciji. konferencija.ecommserbia.org na IPM može koristiti sledeću izjavu:</w:t>
      </w:r>
    </w:p>
    <w:p>
      <w:pPr>
        <w:pStyle w:val="Normal"/>
        <w:jc w:val="both"/>
        <w:rPr>
          <w:rFonts w:ascii="Arial" w:hAnsi="Arial" w:cs="Arial"/>
          <w:sz w:val="28"/>
          <w:szCs w:val="28"/>
          <w:lang w:val="sr-Latn-CS"/>
        </w:rPr>
      </w:pPr>
      <w:r>
        <w:rPr>
          <w:rFonts w:cs="Arial" w:ascii="Arial" w:hAnsi="Arial"/>
          <w:sz w:val="28"/>
          <w:szCs w:val="28"/>
          <w:lang w:val="sr-Latn-CS"/>
        </w:rPr>
      </w:r>
    </w:p>
    <w:p>
      <w:pPr>
        <w:pStyle w:val="Normal"/>
        <w:jc w:val="both"/>
        <w:rPr>
          <w:sz w:val="28"/>
          <w:szCs w:val="28"/>
        </w:rPr>
      </w:pPr>
      <w:r>
        <w:rPr>
          <w:rFonts w:cs="Arial" w:ascii="Arial" w:hAnsi="Arial"/>
          <w:i/>
          <w:sz w:val="28"/>
          <w:szCs w:val="28"/>
          <w:lang w:val="sr-Latn-CS"/>
        </w:rPr>
        <w:t>Prilikom unošenja podataka o platnoj kartici, poverljive informacija se prenose putem javne mreže u zaštićenoj (kriptovanoj) formi. Niti jednog trenutka podaci o platnoj kartici nisu dostupni našem sistemu.</w:t>
      </w:r>
    </w:p>
    <w:p>
      <w:pPr>
        <w:pStyle w:val="Normal"/>
        <w:jc w:val="both"/>
        <w:rPr>
          <w:rFonts w:ascii="Arial" w:hAnsi="Arial" w:cs="Arial"/>
          <w:i/>
          <w:i/>
          <w:sz w:val="28"/>
          <w:szCs w:val="28"/>
          <w:lang w:val="sr-Latn-CS"/>
        </w:rPr>
      </w:pPr>
      <w:r>
        <w:rPr>
          <w:rFonts w:cs="Arial" w:ascii="Arial" w:hAnsi="Arial"/>
          <w:i/>
          <w:sz w:val="28"/>
          <w:szCs w:val="28"/>
          <w:lang w:val="sr-Latn-CS"/>
        </w:rPr>
      </w:r>
    </w:p>
    <w:p>
      <w:pPr>
        <w:pStyle w:val="Normal"/>
        <w:jc w:val="both"/>
        <w:rPr>
          <w:sz w:val="28"/>
          <w:szCs w:val="28"/>
        </w:rPr>
      </w:pPr>
      <w:r>
        <w:rPr>
          <w:rFonts w:eastAsia="Times New Roman" w:cs="Arial" w:ascii="Arial" w:hAnsi="Arial"/>
          <w:i/>
          <w:sz w:val="28"/>
          <w:szCs w:val="28"/>
          <w:lang w:val="en-US" w:eastAsia="sr-Latn-RS"/>
        </w:rPr>
        <w:t>During payment card data entry, confidential information is transmitted via a public network in a protected (encrypted) form. Payment card information is not available to our system at any moment.”</w:t>
      </w:r>
    </w:p>
    <w:p>
      <w:pPr>
        <w:pStyle w:val="Heading3"/>
        <w:numPr>
          <w:ilvl w:val="0"/>
          <w:numId w:val="0"/>
        </w:numPr>
        <w:ind w:left="1080" w:hanging="0"/>
        <w:jc w:val="center"/>
        <w:rPr>
          <w:i w:val="false"/>
          <w:i w:val="false"/>
          <w:iCs w:val="false"/>
        </w:rPr>
      </w:pPr>
      <w:r>
        <w:rPr>
          <w:i w:val="false"/>
          <w:iCs w:val="false"/>
        </w:rPr>
      </w:r>
    </w:p>
    <w:p>
      <w:pPr>
        <w:pStyle w:val="Heading3"/>
        <w:numPr>
          <w:ilvl w:val="0"/>
          <w:numId w:val="0"/>
        </w:numPr>
        <w:ind w:left="900" w:hanging="0"/>
        <w:jc w:val="center"/>
        <w:rPr>
          <w:sz w:val="28"/>
          <w:szCs w:val="28"/>
        </w:rPr>
      </w:pPr>
      <w:r>
        <w:rPr>
          <w:i w:val="false"/>
          <w:iCs w:val="false"/>
          <w:sz w:val="28"/>
          <w:szCs w:val="28"/>
        </w:rPr>
        <w:t xml:space="preserve">Politika upotrebe </w:t>
      </w:r>
      <w:r>
        <w:rPr>
          <w:sz w:val="28"/>
          <w:szCs w:val="28"/>
        </w:rPr>
        <w:t>kolačića</w:t>
      </w:r>
      <w:bookmarkStart w:id="3" w:name="_Toc11836492611"/>
      <w:r>
        <w:rPr>
          <w:i w:val="false"/>
          <w:iCs w:val="false"/>
          <w:sz w:val="28"/>
          <w:szCs w:val="28"/>
        </w:rPr>
        <w:t xml:space="preserve"> </w:t>
      </w:r>
      <w:bookmarkEnd w:id="3"/>
    </w:p>
    <w:p>
      <w:pPr>
        <w:pStyle w:val="Normal"/>
        <w:jc w:val="center"/>
        <w:rPr>
          <w:i w:val="false"/>
          <w:i w:val="false"/>
          <w:iCs w:val="false"/>
        </w:rPr>
      </w:pPr>
      <w:r>
        <w:rPr>
          <w:i w:val="false"/>
          <w:iCs w:val="false"/>
        </w:rPr>
      </w:r>
    </w:p>
    <w:p>
      <w:pPr>
        <w:pStyle w:val="Normal"/>
        <w:jc w:val="both"/>
        <w:rPr>
          <w:i w:val="false"/>
          <w:i w:val="false"/>
          <w:iCs w:val="false"/>
          <w:sz w:val="28"/>
          <w:szCs w:val="28"/>
        </w:rPr>
      </w:pPr>
      <w:r>
        <w:rPr>
          <w:i w:val="false"/>
          <w:iCs w:val="false"/>
          <w:sz w:val="28"/>
          <w:szCs w:val="28"/>
        </w:rPr>
        <w:t xml:space="preserve">Kolačići su tekstualne datoteke koje sadrže male količine informacija koje se preuzimaju na vaš računar ili mobilni uređaj kada posetite web stranicu. Kolačići se zatim vraćaju na početni sajt prilikom svake naredne posete ili na drugi sajt koji prepoznaje taj kolačić. Dakle, zahvaljujući kolačićima, sajt može da prepozna uređaj korisnika. Kolačiće koristimo za prikupljanje podataka o korišćenju web-sajta. Svrha prikupljanja podataka putem kolačića nema u cilju da identifikuje korisnike web-sajta, već da poboljša sadržaj web-sajta i unapredi vaše korisničko iskustvo. Različiti kolačići se mogu čuvati tokom različitog vremenskog perioda u vašem web pretraživaču odnosno uređaju. Kolačići za sesiju se brišu sa računara ili uređaja kada zatvorite svoj web pretraživač. Trajni kolačići ostaće sačuvani na vašem računaru ili uređaju dok ne budu izbrisani ili dok im ne istekne rok trajanja. </w:t>
      </w:r>
    </w:p>
    <w:p>
      <w:pPr>
        <w:pStyle w:val="Normal"/>
        <w:jc w:val="both"/>
        <w:rPr>
          <w:i w:val="false"/>
          <w:i w:val="false"/>
          <w:iCs w:val="false"/>
          <w:sz w:val="28"/>
          <w:szCs w:val="28"/>
        </w:rPr>
      </w:pPr>
      <w:r>
        <w:rPr>
          <w:i w:val="false"/>
          <w:iCs w:val="false"/>
          <w:sz w:val="28"/>
          <w:szCs w:val="28"/>
        </w:rPr>
      </w:r>
    </w:p>
    <w:p>
      <w:pPr>
        <w:pStyle w:val="Heading2"/>
        <w:jc w:val="both"/>
        <w:rPr>
          <w:i w:val="false"/>
          <w:i w:val="false"/>
          <w:iCs w:val="false"/>
          <w:sz w:val="28"/>
          <w:szCs w:val="28"/>
        </w:rPr>
      </w:pPr>
      <w:r>
        <w:rPr>
          <w:i w:val="false"/>
          <w:iCs w:val="false"/>
          <w:sz w:val="28"/>
          <w:szCs w:val="28"/>
        </w:rPr>
        <w:t>Vrste kolačića</w:t>
      </w:r>
    </w:p>
    <w:p>
      <w:pPr>
        <w:pStyle w:val="TextBody"/>
        <w:rPr>
          <w:sz w:val="28"/>
          <w:szCs w:val="28"/>
        </w:rPr>
      </w:pPr>
      <w:r>
        <w:rPr>
          <w:sz w:val="28"/>
          <w:szCs w:val="28"/>
        </w:rPr>
        <w:t>Sajt koristi nekoliko vrsta kolačića, koji se koriste u različite svrhe:</w:t>
      </w:r>
    </w:p>
    <w:p>
      <w:pPr>
        <w:pStyle w:val="Heading3"/>
        <w:rPr>
          <w:sz w:val="28"/>
          <w:szCs w:val="28"/>
        </w:rPr>
      </w:pPr>
      <w:r>
        <w:rPr>
          <w:sz w:val="28"/>
          <w:szCs w:val="28"/>
        </w:rPr>
        <w:t>Neophodni kolačići</w:t>
      </w:r>
    </w:p>
    <w:p>
      <w:pPr>
        <w:pStyle w:val="TextBody"/>
        <w:rPr>
          <w:sz w:val="28"/>
          <w:szCs w:val="28"/>
        </w:rPr>
      </w:pPr>
      <w:r>
        <w:rPr>
          <w:sz w:val="28"/>
          <w:szCs w:val="28"/>
        </w:rPr>
        <w:t>Pomažu posetiocima da koriste web-sajt, omogućavajući osnovne funkcije poput navigacije kroz web-sajt i pristup zaštićenim delovima web-sajta. Web-sajt ne može ispravno funkcionisati bez ovih kolačića.</w:t>
      </w:r>
    </w:p>
    <w:p>
      <w:pPr>
        <w:pStyle w:val="Heading3"/>
        <w:rPr>
          <w:sz w:val="28"/>
          <w:szCs w:val="28"/>
        </w:rPr>
      </w:pPr>
      <w:r>
        <w:rPr>
          <w:sz w:val="28"/>
          <w:szCs w:val="28"/>
        </w:rPr>
        <w:t>Statistički kolačići</w:t>
      </w:r>
    </w:p>
    <w:p>
      <w:pPr>
        <w:pStyle w:val="TextBody"/>
        <w:rPr>
          <w:sz w:val="28"/>
          <w:szCs w:val="28"/>
        </w:rPr>
      </w:pPr>
      <w:r>
        <w:rPr>
          <w:sz w:val="28"/>
          <w:szCs w:val="28"/>
        </w:rPr>
        <w:t>Pomažu nam da razumemo način na koji posetioci web-sajta koriste naš web-sajt i pomažu nam da poboljšamo i sam web-sajt, kao i vaše korisničko iskustvo.</w:t>
        <w:br/>
        <w:t>Na primer, ovi kolačići broje posetioce našeg web-sajta i vide kako se posetioci kreću kroz web-sajt kada ga koriste.</w:t>
        <w:br/>
        <w:t>To nam pomaže da poboljšamo način na koji naša web lokacija funkcioniše (na primer, osiguravajući da korisnici lako pronađu ono što traže).</w:t>
      </w:r>
    </w:p>
    <w:p>
      <w:pPr>
        <w:pStyle w:val="Heading3"/>
        <w:rPr>
          <w:sz w:val="28"/>
          <w:szCs w:val="28"/>
        </w:rPr>
      </w:pPr>
      <w:r>
        <w:rPr>
          <w:sz w:val="28"/>
          <w:szCs w:val="28"/>
        </w:rPr>
        <w:t>Marketinški kolačići</w:t>
      </w:r>
    </w:p>
    <w:p>
      <w:pPr>
        <w:pStyle w:val="TextBody"/>
        <w:rPr>
          <w:sz w:val="28"/>
          <w:szCs w:val="28"/>
        </w:rPr>
      </w:pPr>
      <w:r>
        <w:rPr>
          <w:sz w:val="28"/>
          <w:szCs w:val="28"/>
        </w:rPr>
        <w:t>Pomažu nam da vam omogućimo dobro korisničko iskustvo, prilagodimo sadržaj web-sajta i omogućavaju nam da neprestano poboljšavamo web-sajt.</w:t>
        <w:br/>
        <w:t>Ovi kolačići (koji se nazivaju i reklamni kolačići) koriste se za isporučivanje oglašenog sadržaja koji je relevantan za vas i mogu se koristiti za praćenje efikasnosti naših reklamnih kampanja na web-sajtu.</w:t>
      </w:r>
    </w:p>
    <w:p>
      <w:pPr>
        <w:pStyle w:val="Heading2"/>
        <w:rPr>
          <w:sz w:val="28"/>
          <w:szCs w:val="28"/>
        </w:rPr>
      </w:pPr>
      <w:r>
        <w:rPr>
          <w:sz w:val="28"/>
          <w:szCs w:val="28"/>
        </w:rPr>
        <w:t>Kako da blokirate kolačiće?</w:t>
      </w:r>
    </w:p>
    <w:p>
      <w:pPr>
        <w:pStyle w:val="TextBody"/>
        <w:rPr>
          <w:sz w:val="28"/>
          <w:szCs w:val="28"/>
        </w:rPr>
      </w:pPr>
      <w:r>
        <w:rPr>
          <w:sz w:val="28"/>
          <w:szCs w:val="28"/>
        </w:rPr>
        <w:t>Ukoliko želite da onemogućite upotrebu kolačića, to možete učiniti na dva načina:</w:t>
      </w:r>
    </w:p>
    <w:p>
      <w:pPr>
        <w:pStyle w:val="TextBody"/>
        <w:numPr>
          <w:ilvl w:val="0"/>
          <w:numId w:val="1"/>
        </w:numPr>
        <w:tabs>
          <w:tab w:val="clear" w:pos="720"/>
          <w:tab w:val="left" w:pos="0" w:leader="none"/>
        </w:tabs>
        <w:ind w:left="709" w:hanging="283"/>
        <w:rPr/>
      </w:pPr>
      <w:r>
        <w:rPr>
          <w:rStyle w:val="StrongEmphasis"/>
          <w:sz w:val="28"/>
          <w:szCs w:val="28"/>
        </w:rPr>
        <w:t>Putem opcije Podešavanje kolačića</w:t>
      </w:r>
      <w:r>
        <w:rPr>
          <w:sz w:val="28"/>
          <w:szCs w:val="28"/>
        </w:rPr>
        <w:t xml:space="preserve"> kojoj možete pristupiti sa bannera koji se nalazi na našem web-sajtu. Ova opcija omogućava da podesite vrstu kolačića koju želite da omogućite.</w:t>
      </w:r>
    </w:p>
    <w:p>
      <w:pPr>
        <w:pStyle w:val="TextBody"/>
        <w:numPr>
          <w:ilvl w:val="0"/>
          <w:numId w:val="1"/>
        </w:numPr>
        <w:tabs>
          <w:tab w:val="clear" w:pos="720"/>
          <w:tab w:val="left" w:pos="0" w:leader="none"/>
        </w:tabs>
        <w:ind w:left="709" w:hanging="283"/>
        <w:rPr/>
      </w:pPr>
      <w:r>
        <w:rPr>
          <w:rStyle w:val="StrongEmphasis"/>
          <w:sz w:val="28"/>
          <w:szCs w:val="28"/>
        </w:rPr>
        <w:t>Putem podešavanja u okviru samog pretraživača.</w:t>
      </w:r>
      <w:r>
        <w:rPr>
          <w:sz w:val="28"/>
          <w:szCs w:val="28"/>
        </w:rPr>
        <w:t xml:space="preserve"> Većina internet pretraživača je podešena da podrazumeva prihvatanje kolačića.</w:t>
        <w:br/>
        <w:t>Međutim, ukoliko želite da odbijete ili izbrišete kolačiće, molimo vas da pogledate odeljak za pomoć i podršku na vašem pretraživaču za uputstva o tome kako da blokirate ili obrišete kolačiće (npr: Internet Explorer, Google Chrome, Mozilla Firefox i Safari).</w:t>
        <w:br/>
        <w:t>Imajte u vidu da svaki pretraživač ima različite procedure za podešavanje kolačića.</w:t>
        <w:br/>
        <w:t>Ako koristite podešavanja pretraživača da blokirate sve kolačiće (uključujući i neophodne kolačiće), moguće je da nećete imati pristup svim ili određenim delovima web-sajta.</w:t>
      </w:r>
    </w:p>
    <w:p>
      <w:pPr>
        <w:pStyle w:val="Heading2"/>
        <w:rPr>
          <w:sz w:val="28"/>
          <w:szCs w:val="28"/>
        </w:rPr>
      </w:pPr>
      <w:r>
        <w:rPr>
          <w:sz w:val="28"/>
          <w:szCs w:val="28"/>
        </w:rPr>
        <w:t>Izmene naše Politike upotrebe kolačića</w:t>
      </w:r>
    </w:p>
    <w:p>
      <w:pPr>
        <w:pStyle w:val="TextBody"/>
        <w:rPr>
          <w:sz w:val="28"/>
          <w:szCs w:val="28"/>
        </w:rPr>
      </w:pPr>
      <w:r>
        <w:rPr>
          <w:sz w:val="28"/>
          <w:szCs w:val="28"/>
        </w:rPr>
        <w:t>Prodavac može povremeno ažurirati ove smernice, te vas molimo da ih redovno proveravate kako biste bili sigurni da ste upoznati sa najnovijom verzijom.</w:t>
      </w:r>
    </w:p>
    <w:p>
      <w:pPr>
        <w:pStyle w:val="Normal"/>
        <w:jc w:val="both"/>
        <w:rPr>
          <w:i w:val="false"/>
          <w:i w:val="false"/>
          <w:iCs w:val="false"/>
          <w:sz w:val="28"/>
          <w:szCs w:val="28"/>
        </w:rPr>
      </w:pPr>
      <w:r>
        <w:rPr>
          <w:i w:val="false"/>
          <w:iCs w:val="false"/>
          <w:sz w:val="28"/>
          <w:szCs w:val="28"/>
        </w:rPr>
      </w:r>
    </w:p>
    <w:p>
      <w:pPr>
        <w:pStyle w:val="Normal"/>
        <w:jc w:val="both"/>
        <w:rPr>
          <w:i w:val="false"/>
          <w:i w:val="false"/>
          <w:iCs w:val="false"/>
          <w:sz w:val="28"/>
          <w:szCs w:val="28"/>
        </w:rPr>
      </w:pPr>
      <w:r>
        <w:rPr>
          <w:i w:val="false"/>
          <w:iCs w:val="false"/>
          <w:sz w:val="28"/>
          <w:szCs w:val="28"/>
        </w:rPr>
      </w:r>
    </w:p>
    <w:p>
      <w:pPr>
        <w:pStyle w:val="Normal"/>
        <w:jc w:val="both"/>
        <w:rPr>
          <w:i w:val="false"/>
          <w:i w:val="false"/>
          <w:iCs w:val="false"/>
          <w:sz w:val="28"/>
          <w:szCs w:val="28"/>
        </w:rPr>
      </w:pPr>
      <w:r>
        <w:rPr>
          <w:i w:val="false"/>
          <w:iCs w:val="false"/>
          <w:sz w:val="28"/>
          <w:szCs w:val="28"/>
        </w:rPr>
      </w:r>
    </w:p>
    <w:p>
      <w:pPr>
        <w:pStyle w:val="Heading3"/>
        <w:numPr>
          <w:ilvl w:val="0"/>
          <w:numId w:val="0"/>
        </w:numPr>
        <w:ind w:left="1080" w:hanging="0"/>
        <w:jc w:val="center"/>
        <w:rPr>
          <w:sz w:val="28"/>
          <w:szCs w:val="28"/>
        </w:rPr>
      </w:pPr>
      <w:bookmarkStart w:id="4" w:name="_Toc118364927"/>
      <w:r>
        <w:rPr>
          <w:sz w:val="28"/>
          <w:szCs w:val="28"/>
        </w:rPr>
        <w:t>Politika reklamacija</w:t>
      </w:r>
      <w:bookmarkEnd w:id="4"/>
    </w:p>
    <w:p>
      <w:pPr>
        <w:pStyle w:val="Normal"/>
        <w:rPr>
          <w:rFonts w:ascii="Arial" w:hAnsi="Arial" w:cs="Arial"/>
          <w:sz w:val="28"/>
          <w:szCs w:val="28"/>
        </w:rPr>
      </w:pPr>
      <w:r>
        <w:rPr>
          <w:rFonts w:cs="Arial" w:ascii="Arial" w:hAnsi="Arial"/>
          <w:sz w:val="28"/>
          <w:szCs w:val="28"/>
        </w:rPr>
      </w:r>
    </w:p>
    <w:p>
      <w:pPr>
        <w:pStyle w:val="Normal"/>
        <w:jc w:val="both"/>
        <w:rPr>
          <w:sz w:val="28"/>
          <w:szCs w:val="28"/>
        </w:rPr>
      </w:pPr>
      <w:r>
        <w:rPr>
          <w:rFonts w:cs="Arial" w:ascii="Arial" w:hAnsi="Arial"/>
          <w:sz w:val="28"/>
          <w:szCs w:val="28"/>
          <w:lang w:val="sr-Latn-CS"/>
        </w:rPr>
        <w:t>konferencija.ecommserbia.org je u obavezi da na internet prodajnom mestu predoči jasne i nedvosmislene uslove reklamacija – plaćanja, naknade, povraćaj novca i/ili robe sa opisom procedure ukoliko dođe do reklamacije.</w:t>
      </w:r>
    </w:p>
    <w:p>
      <w:pPr>
        <w:pStyle w:val="Normal"/>
        <w:jc w:val="both"/>
        <w:rPr>
          <w:rFonts w:ascii="Arial" w:hAnsi="Arial" w:cs="Arial"/>
          <w:sz w:val="28"/>
          <w:szCs w:val="28"/>
          <w:lang w:val="sr-Latn-CS"/>
        </w:rPr>
      </w:pPr>
      <w:r>
        <w:rPr>
          <w:rFonts w:cs="Arial" w:ascii="Arial" w:hAnsi="Arial"/>
          <w:sz w:val="28"/>
          <w:szCs w:val="28"/>
          <w:lang w:val="sr-Latn-CS"/>
        </w:rPr>
      </w:r>
    </w:p>
    <w:p>
      <w:pPr>
        <w:pStyle w:val="Normal"/>
        <w:rPr>
          <w:sz w:val="28"/>
          <w:szCs w:val="28"/>
        </w:rPr>
      </w:pPr>
      <w:r>
        <w:rPr>
          <w:rFonts w:cs="Arial" w:ascii="Arial" w:hAnsi="Arial"/>
          <w:sz w:val="28"/>
          <w:szCs w:val="28"/>
          <w:lang w:val="sr-Latn-CS"/>
        </w:rPr>
        <w:t>konferencija.ecommserbia.org je u obavezi da jasno predoči uslove (razloge, rok i sl.) pod kojim se roba/usluga može otkazati, odnosno vratiti roba i otkazati usluga tj. ugovor na daljinu, kao i postupak otkaza i eventulane troškove takvog otkaza.</w:t>
      </w:r>
    </w:p>
    <w:p>
      <w:pPr>
        <w:pStyle w:val="Normal"/>
        <w:rPr>
          <w:rFonts w:ascii="Arial" w:hAnsi="Arial" w:cs="Arial"/>
          <w:sz w:val="28"/>
          <w:szCs w:val="28"/>
          <w:lang w:val="sr-Latn-CS"/>
        </w:rPr>
      </w:pPr>
      <w:r>
        <w:rPr>
          <w:rFonts w:cs="Arial" w:ascii="Arial" w:hAnsi="Arial"/>
          <w:sz w:val="28"/>
          <w:szCs w:val="28"/>
          <w:lang w:val="sr-Latn-CS"/>
        </w:rPr>
      </w:r>
    </w:p>
    <w:p>
      <w:pPr>
        <w:pStyle w:val="Normal"/>
        <w:shd w:val="clear" w:color="auto" w:fill="FFFFFF"/>
        <w:spacing w:before="0" w:after="150"/>
        <w:rPr>
          <w:sz w:val="28"/>
          <w:szCs w:val="28"/>
        </w:rPr>
      </w:pPr>
      <w:r>
        <w:rPr>
          <w:rFonts w:eastAsia="Times New Roman" w:cs="Arial" w:ascii="Arial" w:hAnsi="Arial"/>
          <w:i/>
          <w:color w:val="000000"/>
          <w:sz w:val="28"/>
          <w:szCs w:val="28"/>
          <w:lang w:eastAsia="sr-Latn-RS"/>
        </w:rPr>
        <w:t>Ukoliko ste robu kupili</w:t>
      </w:r>
      <w:r>
        <w:rPr>
          <w:rFonts w:eastAsia="Times New Roman" w:cs="Arial" w:ascii="Arial" w:hAnsi="Arial"/>
          <w:b/>
          <w:bCs/>
          <w:i/>
          <w:color w:val="000000"/>
          <w:sz w:val="28"/>
          <w:szCs w:val="28"/>
          <w:lang w:eastAsia="sr-Latn-RS"/>
        </w:rPr>
        <w:t xml:space="preserve"> online prodavnici</w:t>
      </w:r>
      <w:r>
        <w:rPr>
          <w:rFonts w:eastAsia="Times New Roman" w:cs="Arial" w:ascii="Arial" w:hAnsi="Arial"/>
          <w:i/>
          <w:color w:val="000000"/>
          <w:sz w:val="28"/>
          <w:szCs w:val="28"/>
          <w:lang w:eastAsia="sr-Latn-RS"/>
        </w:rPr>
        <w:t>, prilikom preuzimanja pošiljke molimo Vas da u prisustvu kurira proverite svoj paket. Ukoliko na njemu ima vidljivih oštećenja (pocepani delovi i ugnječenje) paket ne bi trebalo da preuzmete. U ovom slučaju molimo Vas da nas pozovite telefonom na broj XXXXXXXX. U najkraćem mogućem roku obavestićemo Vas o daljem postupanju.</w:t>
      </w:r>
    </w:p>
    <w:p>
      <w:pPr>
        <w:pStyle w:val="Normal"/>
        <w:shd w:val="clear" w:color="auto" w:fill="FFFFFF"/>
        <w:spacing w:before="0" w:after="150"/>
        <w:rPr>
          <w:sz w:val="28"/>
          <w:szCs w:val="28"/>
        </w:rPr>
      </w:pPr>
      <w:r>
        <w:rPr>
          <w:rFonts w:eastAsia="Times New Roman" w:cs="Arial" w:ascii="Arial" w:hAnsi="Arial"/>
          <w:i/>
          <w:color w:val="000000"/>
          <w:sz w:val="28"/>
          <w:szCs w:val="28"/>
          <w:lang w:eastAsia="sr-Latn-RS"/>
        </w:rPr>
        <w:t>Ukoliko ste primili pošiljku i nakon otvaranja kutije ustanovili da isporučena roba ne odgovara naručenoj ili podaci na računu nisu odgovarajući, molimo Vas da nas kontaktirate najkasnije u roku od 24h od trenutka prijema pošiljke.</w:t>
      </w:r>
    </w:p>
    <w:p>
      <w:pPr>
        <w:pStyle w:val="Normal"/>
        <w:shd w:val="clear" w:color="auto" w:fill="FFFFFF"/>
        <w:spacing w:before="0" w:after="150"/>
        <w:rPr>
          <w:sz w:val="28"/>
          <w:szCs w:val="28"/>
        </w:rPr>
      </w:pPr>
      <w:r>
        <w:rPr>
          <w:rFonts w:eastAsia="Times New Roman" w:cs="Arial" w:ascii="Arial" w:hAnsi="Arial"/>
          <w:i/>
          <w:color w:val="000000"/>
          <w:sz w:val="28"/>
          <w:szCs w:val="28"/>
          <w:lang w:eastAsia="sr-Latn-RS"/>
        </w:rPr>
        <w:t xml:space="preserve">Ukoliko se na kupljenom </w:t>
      </w:r>
      <w:r>
        <w:rPr>
          <w:rFonts w:eastAsia="Times New Roman" w:cs="Arial" w:ascii="Arial" w:hAnsi="Arial"/>
          <w:i/>
          <w:sz w:val="28"/>
          <w:szCs w:val="28"/>
          <w:lang w:eastAsia="sr-Latn-RS"/>
        </w:rPr>
        <w:t>proizvodu pojave neusaglašenosti u smislu odredbi Zakona o zaštiti potrošača, molimo Vas da nas kontaktirate</w:t>
      </w:r>
      <w:r>
        <w:rPr>
          <w:rFonts w:eastAsia="Times New Roman" w:cs="Arial" w:ascii="Arial" w:hAnsi="Arial"/>
          <w:i/>
          <w:color w:val="000000"/>
          <w:sz w:val="28"/>
          <w:szCs w:val="28"/>
          <w:lang w:eastAsia="sr-Latn-RS"/>
        </w:rPr>
        <w:t xml:space="preserve">. </w:t>
      </w:r>
    </w:p>
    <w:p>
      <w:pPr>
        <w:pStyle w:val="Normal"/>
        <w:shd w:val="clear" w:color="auto" w:fill="FFFFFF"/>
        <w:spacing w:before="0" w:after="150"/>
        <w:rPr>
          <w:sz w:val="28"/>
          <w:szCs w:val="28"/>
        </w:rPr>
      </w:pPr>
      <w:r>
        <w:rPr>
          <w:rFonts w:eastAsia="Times New Roman" w:cs="Arial" w:ascii="Arial" w:hAnsi="Arial"/>
          <w:i/>
          <w:color w:val="000000"/>
          <w:sz w:val="28"/>
          <w:szCs w:val="28"/>
          <w:lang w:eastAsia="sr-Latn-RS"/>
        </w:rPr>
        <w:t>U najkraćem mogućem roku, a najkasnije u roku od XX dana od dana prijema reklamacije pisanim putem ili elektronskim, odgovorićemo Vam na uloženu reklamaciju i obavestićemo Vas o daljem postupanju. Rok za rešavanje reklamacije je XX Dana od trenutka podnošenja iste.</w:t>
      </w:r>
    </w:p>
    <w:p>
      <w:pPr>
        <w:pStyle w:val="Normal"/>
        <w:shd w:val="clear" w:color="auto" w:fill="FFFFFF"/>
        <w:spacing w:before="0" w:after="150"/>
        <w:jc w:val="both"/>
        <w:rPr>
          <w:i w:val="false"/>
          <w:i w:val="false"/>
          <w:iCs w:val="false"/>
          <w:sz w:val="28"/>
          <w:szCs w:val="28"/>
        </w:rPr>
      </w:pPr>
      <w:r>
        <w:rPr>
          <w:rFonts w:eastAsia="Times New Roman" w:cs="Arial" w:ascii="Arial" w:hAnsi="Arial"/>
          <w:i/>
          <w:iCs w:val="false"/>
          <w:color w:val="000000"/>
          <w:sz w:val="28"/>
          <w:szCs w:val="28"/>
          <w:lang w:eastAsia="sr-Latn-RS"/>
        </w:rPr>
        <w:t>U slučaju vraćanja robe kupcu koji je prethodno robu platio kuriru tj. pouzećem, troškove vraćanja robe ne snosi ( ime trgovca), već trošak pada na teret kupca.</w:t>
      </w:r>
    </w:p>
    <w:p>
      <w:pPr>
        <w:pStyle w:val="Heading3"/>
        <w:numPr>
          <w:ilvl w:val="0"/>
          <w:numId w:val="0"/>
        </w:numPr>
        <w:ind w:left="1080" w:hanging="0"/>
        <w:jc w:val="center"/>
        <w:rPr>
          <w:lang w:val="sr-Latn-CS"/>
        </w:rPr>
      </w:pPr>
      <w:bookmarkStart w:id="5" w:name="_Toc118364934"/>
      <w:r>
        <w:rPr>
          <w:lang w:val="sr-Latn-CS"/>
        </w:rPr>
        <w:t>Izjava kursne razlike izjava o PDV</w:t>
      </w:r>
      <w:bookmarkEnd w:id="5"/>
    </w:p>
    <w:p>
      <w:pPr>
        <w:pStyle w:val="Normal"/>
        <w:numPr>
          <w:ilvl w:val="0"/>
          <w:numId w:val="0"/>
        </w:numPr>
        <w:ind w:left="0" w:hanging="0"/>
        <w:rPr/>
      </w:pPr>
      <w:r>
        <w:rPr/>
      </w:r>
    </w:p>
    <w:p>
      <w:pPr>
        <w:pStyle w:val="Normal"/>
        <w:jc w:val="both"/>
        <w:rPr>
          <w:rFonts w:ascii="Arial" w:hAnsi="Arial" w:cs="Arial"/>
          <w:lang w:val="sr-Latn-CS"/>
        </w:rPr>
      </w:pPr>
      <w:r>
        <w:rPr>
          <w:rFonts w:cs="Arial" w:ascii="Arial" w:hAnsi="Arial"/>
          <w:lang w:val="sr-Latn-CS"/>
        </w:rPr>
      </w:r>
    </w:p>
    <w:p>
      <w:pPr>
        <w:pStyle w:val="Normal"/>
        <w:jc w:val="left"/>
        <w:rPr/>
      </w:pPr>
      <w:r>
        <w:rPr>
          <w:rFonts w:cs="Arial" w:ascii="Arial" w:hAnsi="Arial"/>
          <w:lang w:val="sr-Latn-CS"/>
        </w:rPr>
        <w:t>Ako su na internet prodajnom mestu cene izražene informativno i u stranoj valuti (€, $, …) Trgovac je u obavezi da predoči sledeću izjavu:</w:t>
      </w:r>
    </w:p>
    <w:p>
      <w:pPr>
        <w:pStyle w:val="Normal"/>
        <w:jc w:val="left"/>
        <w:rPr>
          <w:rFonts w:ascii="Arial" w:hAnsi="Arial" w:cs="Arial"/>
          <w:lang w:val="sr-Latn-CS"/>
        </w:rPr>
      </w:pPr>
      <w:r>
        <w:rPr>
          <w:rFonts w:cs="Arial" w:ascii="Arial" w:hAnsi="Arial"/>
          <w:lang w:val="sr-Latn-CS"/>
        </w:rPr>
      </w:r>
    </w:p>
    <w:p>
      <w:pPr>
        <w:pStyle w:val="Normal"/>
        <w:jc w:val="left"/>
        <w:rPr/>
      </w:pPr>
      <w:r>
        <w:rPr>
          <w:rFonts w:cs="Arial" w:ascii="Arial" w:hAnsi="Arial"/>
          <w:i/>
          <w:lang w:val="sr-Latn-CS"/>
        </w:rPr>
        <w:t xml:space="preserve">Sva plaćanja biće izvršena u lokalnoj valuti Republike Srbije – dinar (RSD). </w:t>
      </w:r>
      <w:r>
        <w:rPr>
          <w:rFonts w:cs="Arial" w:ascii="Arial" w:hAnsi="Arial"/>
          <w:i/>
          <w:lang w:val="fr-FR"/>
        </w:rPr>
        <w:t>Za informativni prikaz cena u drugim valutama koristi se kurs Narodne Banke Srbije. Iznos za koji će biti zadužena Vaša platna kartica biće izražen u Vašoj lokalnoj valuti kroz konverziju u istu po kursu koji koriste kartičarske organizacije/Vaša banka izdavalac, a koji nama u trenutku transakcije ne može biti poznat. Kao rezultat ove konverzije postoji mogućnost neznatne razlike od originalne cene navedene na našem sajtu i one koju možete videti na vašem bankovnom izvodu. Hvala Vam na razumevanju.</w:t>
      </w:r>
    </w:p>
    <w:p>
      <w:pPr>
        <w:pStyle w:val="Normal"/>
        <w:jc w:val="left"/>
        <w:rPr>
          <w:rFonts w:ascii="Arial" w:hAnsi="Arial" w:cs="Arial"/>
          <w:lang w:val="fr-FR"/>
        </w:rPr>
      </w:pPr>
      <w:r>
        <w:rPr>
          <w:rFonts w:cs="Arial" w:ascii="Arial" w:hAnsi="Arial"/>
          <w:lang w:val="fr-FR"/>
        </w:rPr>
      </w:r>
    </w:p>
    <w:p>
      <w:pPr>
        <w:pStyle w:val="Normal"/>
        <w:jc w:val="left"/>
        <w:rPr/>
      </w:pPr>
      <w:r>
        <w:rPr>
          <w:rFonts w:cs="Arial" w:ascii="Arial" w:hAnsi="Arial"/>
          <w:lang w:val="fr-FR"/>
        </w:rPr>
        <w:t>Obzirom da se pomenute kursne razlike pojavljaju uglavnom kod transakcija platnim karticama izdatim van Republike Srbije, drugim rečima – verovatnoća je da su potrošači iz inostranstva, preporuka je da Trgovac istovremeno postavi i izjavu na engleskom jeziku:</w:t>
      </w:r>
    </w:p>
    <w:p>
      <w:pPr>
        <w:pStyle w:val="Normal"/>
        <w:jc w:val="left"/>
        <w:rPr>
          <w:rFonts w:ascii="Arial" w:hAnsi="Arial" w:cs="Arial"/>
          <w:lang w:val="fr-FR"/>
        </w:rPr>
      </w:pPr>
      <w:r>
        <w:rPr>
          <w:rFonts w:cs="Arial" w:ascii="Arial" w:hAnsi="Arial"/>
          <w:lang w:val="fr-FR"/>
        </w:rPr>
      </w:r>
    </w:p>
    <w:p>
      <w:pPr>
        <w:pStyle w:val="Normal"/>
        <w:shd w:val="clear" w:color="auto" w:fill="FFFFFF"/>
        <w:spacing w:before="0" w:after="150"/>
        <w:jc w:val="left"/>
        <w:rPr/>
      </w:pPr>
      <w:r>
        <w:rPr>
          <w:rFonts w:eastAsia="Times New Roman" w:cs="Arial" w:ascii="Arial" w:hAnsi="Arial"/>
          <w:i/>
          <w:iCs w:val="false"/>
          <w:color w:val="000000"/>
          <w:sz w:val="28"/>
          <w:szCs w:val="28"/>
          <w:lang w:val="sr-Latn-CS" w:eastAsia="sr-Latn-RS"/>
        </w:rPr>
        <w:t>All payments will be effected in Serbian currency – dinar (RSD). The amount your credit card account will be charged for is obtained through the conversion of the price in shown currency into Serbian dinar according to the current exchange rate of the Serbian National Bank. When charging your credit card, the same amount is converted into your local currency according to the exchange rate of credit card associations/your issuing bank. As a result of this conversion there is a possibility of a slight difference from the original price stated in our web site and your credit card bank statement. Thank you for your understanding.</w:t>
      </w:r>
    </w:p>
    <w:p>
      <w:pPr>
        <w:pStyle w:val="Normal"/>
        <w:shd w:val="clear" w:color="auto" w:fill="FFFFFF"/>
        <w:spacing w:before="0" w:after="150"/>
        <w:jc w:val="left"/>
        <w:rPr>
          <w:rFonts w:ascii="Arial" w:hAnsi="Arial" w:eastAsia="Times New Roman" w:cs="Arial"/>
          <w:i/>
          <w:i/>
          <w:iCs w:val="false"/>
          <w:color w:val="000000"/>
          <w:sz w:val="28"/>
          <w:szCs w:val="28"/>
          <w:lang w:val="sr-Latn-CS" w:eastAsia="sr-Latn-RS"/>
        </w:rPr>
      </w:pPr>
      <w:r>
        <w:rPr/>
      </w:r>
    </w:p>
    <w:p>
      <w:pPr>
        <w:pStyle w:val="Normal"/>
        <w:shd w:val="clear" w:color="auto" w:fill="FFFFFF"/>
        <w:spacing w:before="0" w:after="150"/>
        <w:jc w:val="left"/>
        <w:rPr>
          <w:rFonts w:ascii="Arial" w:hAnsi="Arial" w:eastAsia="Times New Roman" w:cs="Arial"/>
          <w:i/>
          <w:i/>
          <w:iCs w:val="false"/>
          <w:color w:val="000000"/>
          <w:sz w:val="28"/>
          <w:szCs w:val="28"/>
          <w:lang w:val="sr-Latn-CS" w:eastAsia="sr-Latn-RS"/>
        </w:rPr>
      </w:pPr>
      <w:r>
        <w:rPr/>
      </w:r>
    </w:p>
    <w:p>
      <w:pPr>
        <w:pStyle w:val="Normal"/>
        <w:shd w:val="clear" w:color="auto" w:fill="FFFFFF"/>
        <w:spacing w:before="0" w:after="150"/>
        <w:jc w:val="left"/>
        <w:rPr>
          <w:rFonts w:ascii="Arial" w:hAnsi="Arial" w:eastAsia="Times New Roman" w:cs="Arial"/>
          <w:i/>
          <w:i/>
          <w:iCs w:val="false"/>
          <w:color w:val="000000"/>
          <w:sz w:val="28"/>
          <w:szCs w:val="28"/>
          <w:lang w:val="sr-Latn-CS" w:eastAsia="sr-Latn-RS"/>
        </w:rPr>
      </w:pPr>
      <w:r>
        <w:rPr/>
      </w:r>
    </w:p>
    <w:p>
      <w:pPr>
        <w:pStyle w:val="Heading3"/>
        <w:numPr>
          <w:ilvl w:val="0"/>
          <w:numId w:val="0"/>
        </w:numPr>
        <w:ind w:left="1080" w:hanging="0"/>
        <w:jc w:val="center"/>
        <w:rPr>
          <w:sz w:val="28"/>
          <w:szCs w:val="28"/>
        </w:rPr>
      </w:pPr>
      <w:bookmarkStart w:id="6" w:name="_Toc1183649271"/>
      <w:r>
        <w:rPr>
          <w:sz w:val="28"/>
          <w:szCs w:val="28"/>
        </w:rPr>
        <w:t>I</w:t>
      </w:r>
      <w:bookmarkEnd w:id="6"/>
      <w:r>
        <w:rPr>
          <w:sz w:val="28"/>
          <w:szCs w:val="28"/>
        </w:rPr>
        <w:t>nformacije o cenama</w:t>
      </w:r>
    </w:p>
    <w:p>
      <w:pPr>
        <w:pStyle w:val="Normal"/>
        <w:rPr>
          <w:rFonts w:ascii="Arial" w:hAnsi="Arial" w:cs="Arial"/>
          <w:sz w:val="28"/>
          <w:szCs w:val="28"/>
        </w:rPr>
      </w:pPr>
      <w:r>
        <w:rPr>
          <w:rFonts w:cs="Arial" w:ascii="Arial" w:hAnsi="Arial"/>
          <w:sz w:val="28"/>
          <w:szCs w:val="28"/>
        </w:rPr>
      </w:r>
    </w:p>
    <w:p>
      <w:pPr>
        <w:pStyle w:val="Normal"/>
        <w:jc w:val="both"/>
        <w:rPr>
          <w:sz w:val="28"/>
          <w:szCs w:val="28"/>
        </w:rPr>
      </w:pPr>
      <w:r>
        <w:rPr>
          <w:rFonts w:cs="Arial" w:ascii="Arial" w:hAnsi="Arial"/>
          <w:sz w:val="28"/>
          <w:szCs w:val="28"/>
          <w:lang w:val="sr-Latn-CS"/>
        </w:rPr>
        <w:t xml:space="preserve">Na sajtu </w:t>
      </w:r>
      <w:r>
        <w:rPr>
          <w:rFonts w:cs="Arial" w:ascii="Arial" w:hAnsi="Arial"/>
          <w:sz w:val="28"/>
          <w:szCs w:val="28"/>
          <w:lang w:val="sr-Latn-CS"/>
        </w:rPr>
        <w:t xml:space="preserve">konferencija.ecommserbia.org </w:t>
      </w:r>
      <w:r>
        <w:rPr>
          <w:rFonts w:cs="Arial" w:ascii="Arial" w:hAnsi="Arial"/>
          <w:sz w:val="28"/>
          <w:szCs w:val="28"/>
          <w:lang w:val="sr-Latn-CS"/>
        </w:rPr>
        <w:t>s</w:t>
      </w:r>
      <w:r>
        <w:rPr>
          <w:rFonts w:cs="Arial" w:ascii="Arial" w:hAnsi="Arial"/>
          <w:sz w:val="28"/>
          <w:szCs w:val="28"/>
          <w:lang w:val="sr-Latn-CS"/>
        </w:rPr>
        <w:t xml:space="preserve">ve cene navedene na sajtu izražene su u dinarima (RSD) i uključuju porez na dodatu vrednost (PDV)osim ako nije drugačije naznačeno. Na </w:t>
      </w:r>
      <w:r>
        <w:rPr>
          <w:rFonts w:cs="Arial" w:ascii="Arial" w:hAnsi="Arial"/>
          <w:sz w:val="28"/>
          <w:szCs w:val="28"/>
          <w:lang w:val="sr-Latn-CS"/>
        </w:rPr>
        <w:t>fiskalnom računu koji kupac dobija prilikom svake kupovine posebno se iskazuje iznos PDV-a. Prodavac je registrovani obveznik PDV-a i posluje u skladu sa važećim zakonima Republike Srbije.</w:t>
      </w:r>
    </w:p>
    <w:p>
      <w:pPr>
        <w:pStyle w:val="Normal"/>
        <w:jc w:val="both"/>
        <w:rPr>
          <w:sz w:val="28"/>
          <w:szCs w:val="28"/>
        </w:rPr>
      </w:pPr>
      <w:r>
        <w:rPr>
          <w:rFonts w:cs="Arial" w:ascii="Arial" w:hAnsi="Arial"/>
          <w:sz w:val="28"/>
          <w:szCs w:val="28"/>
          <w:lang w:val="sr-Latn-CS"/>
        </w:rPr>
      </w:r>
    </w:p>
    <w:p>
      <w:pPr>
        <w:pStyle w:val="Normal"/>
        <w:jc w:val="both"/>
        <w:rPr>
          <w:sz w:val="28"/>
          <w:szCs w:val="28"/>
        </w:rPr>
      </w:pPr>
      <w:r>
        <w:rPr>
          <w:rFonts w:cs="Arial" w:ascii="Arial" w:hAnsi="Arial"/>
          <w:sz w:val="28"/>
          <w:szCs w:val="28"/>
          <w:lang w:val="sr-Latn-CS"/>
        </w:rPr>
      </w:r>
    </w:p>
    <w:p>
      <w:pPr>
        <w:pStyle w:val="Heading3"/>
        <w:numPr>
          <w:ilvl w:val="0"/>
          <w:numId w:val="0"/>
        </w:numPr>
        <w:shd w:val="clear" w:color="auto" w:fill="FFFFFF"/>
        <w:spacing w:before="0" w:after="150"/>
        <w:ind w:left="1080" w:hanging="0"/>
        <w:jc w:val="center"/>
        <w:rPr>
          <w:lang w:val="sr-Latn-CS"/>
        </w:rPr>
      </w:pPr>
      <w:bookmarkStart w:id="7" w:name="_Toc1183649341"/>
      <w:r>
        <w:rPr>
          <w:lang w:val="sr-Latn-CS"/>
        </w:rPr>
        <w:t>M</w:t>
      </w:r>
      <w:bookmarkEnd w:id="7"/>
      <w:r>
        <w:rPr>
          <w:lang w:val="sr-Latn-CS"/>
        </w:rPr>
        <w:t>aloletnim licima zabranjena kupovina kotizacija</w:t>
      </w:r>
    </w:p>
    <w:p>
      <w:pPr>
        <w:pStyle w:val="Normal"/>
        <w:numPr>
          <w:ilvl w:val="0"/>
          <w:numId w:val="0"/>
        </w:numPr>
        <w:shd w:val="clear" w:color="auto" w:fill="FFFFFF"/>
        <w:spacing w:before="0" w:after="150"/>
        <w:ind w:left="1080" w:hanging="0"/>
        <w:jc w:val="center"/>
        <w:rPr>
          <w:lang w:val="sr-Latn-CS"/>
        </w:rPr>
      </w:pPr>
      <w:r>
        <w:rPr/>
      </w:r>
    </w:p>
    <w:p>
      <w:pPr>
        <w:pStyle w:val="Normal"/>
        <w:shd w:val="clear" w:color="auto" w:fill="FFFFFF"/>
        <w:spacing w:before="0" w:after="150"/>
        <w:jc w:val="left"/>
        <w:rPr/>
      </w:pPr>
      <w:r>
        <w:rPr>
          <w:rFonts w:cs="Arial" w:ascii="Arial" w:hAnsi="Arial"/>
          <w:lang w:val="fr-FR"/>
        </w:rPr>
        <w:t>Kupovina putem sajta konferencija.ecommserbia.org dozvoljena je isključivo punoletnim licima (18+). Maloletna lica mogu koristiti sajt isključivo uz nadzor i saglasnost roditelja ili zakonskog staratelja.Prodavac ne snosi odgovornost ukoliko maloletna lica koriste sajt bez saglasnosti roditelja/staratelja.</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Verdana">
    <w:charset w:val="01"/>
    <w:family w:val="roman"/>
    <w:pitch w:val="variable"/>
  </w:font>
  <w:font w:name="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Aptos" w:hAnsi="Aptos" w:eastAsia="Aptos"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e52def"/>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e52def"/>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e52def"/>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e52def"/>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e52def"/>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e52def"/>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e52def"/>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e52def"/>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e52def"/>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e52def"/>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e52def"/>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e52def"/>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e52def"/>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e52def"/>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e52def"/>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e52def"/>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e52def"/>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e52def"/>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e52def"/>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e52def"/>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e52def"/>
    <w:rPr>
      <w:i/>
      <w:iCs/>
      <w:color w:val="404040" w:themeColor="text1" w:themeTint="bf"/>
    </w:rPr>
  </w:style>
  <w:style w:type="character" w:styleId="IntenseEmphasis">
    <w:name w:val="Intense Emphasis"/>
    <w:basedOn w:val="DefaultParagraphFont"/>
    <w:uiPriority w:val="21"/>
    <w:qFormat/>
    <w:rsid w:val="00e52def"/>
    <w:rPr>
      <w:i/>
      <w:iCs/>
      <w:color w:val="0F4761" w:themeColor="accent1" w:themeShade="bf"/>
    </w:rPr>
  </w:style>
  <w:style w:type="character" w:styleId="IntenseQuoteChar" w:customStyle="1">
    <w:name w:val="Intense Quote Char"/>
    <w:basedOn w:val="DefaultParagraphFont"/>
    <w:link w:val="IntenseQuote"/>
    <w:uiPriority w:val="30"/>
    <w:qFormat/>
    <w:rsid w:val="00e52def"/>
    <w:rPr>
      <w:i/>
      <w:iCs/>
      <w:color w:val="0F4761" w:themeColor="accent1" w:themeShade="bf"/>
    </w:rPr>
  </w:style>
  <w:style w:type="character" w:styleId="IntenseReference">
    <w:name w:val="Intense Reference"/>
    <w:basedOn w:val="DefaultParagraphFont"/>
    <w:uiPriority w:val="32"/>
    <w:qFormat/>
    <w:rsid w:val="00e52def"/>
    <w:rPr>
      <w:b/>
      <w:bCs/>
      <w:smallCaps/>
      <w:color w:val="0F4761" w:themeColor="accent1" w:themeShade="bf"/>
      <w:spacing w:val="5"/>
    </w:rPr>
  </w:style>
  <w:style w:type="character" w:styleId="InternetLink">
    <w:name w:val="Hyperlink"/>
    <w:basedOn w:val="DefaultParagraphFont"/>
    <w:rPr>
      <w:color w:val="0000FF"/>
      <w:w w:val="100"/>
      <w:position w:val="0"/>
      <w:sz w:val="24"/>
      <w:sz w:val="24"/>
      <w:u w:val="single"/>
      <w:effect w:val="none"/>
      <w:vertAlign w:val="baseline"/>
      <w:em w:val="none"/>
    </w:rPr>
  </w:style>
  <w:style w:type="character" w:styleId="NumberingSymbols">
    <w:name w:val="Numbering Symbols"/>
    <w:qFormat/>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link w:val="TitleChar"/>
    <w:uiPriority w:val="10"/>
    <w:qFormat/>
    <w:rsid w:val="00e52def"/>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e52def"/>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e52def"/>
    <w:pPr>
      <w:spacing w:before="160" w:after="160"/>
      <w:jc w:val="center"/>
    </w:pPr>
    <w:rPr>
      <w:i/>
      <w:iCs/>
      <w:color w:val="404040" w:themeColor="text1" w:themeTint="bf"/>
    </w:rPr>
  </w:style>
  <w:style w:type="paragraph" w:styleId="ListParagraph">
    <w:name w:val="List Paragraph"/>
    <w:basedOn w:val="Normal"/>
    <w:uiPriority w:val="34"/>
    <w:qFormat/>
    <w:rsid w:val="00e52def"/>
    <w:pPr>
      <w:spacing w:before="0" w:after="160"/>
      <w:ind w:left="720" w:hanging="0"/>
      <w:contextualSpacing/>
    </w:pPr>
    <w:rPr/>
  </w:style>
  <w:style w:type="paragraph" w:styleId="IntenseQuote">
    <w:name w:val="Intense Quote"/>
    <w:basedOn w:val="Normal"/>
    <w:next w:val="Normal"/>
    <w:link w:val="IntenseQuoteChar"/>
    <w:uiPriority w:val="30"/>
    <w:qFormat/>
    <w:rsid w:val="00e52def"/>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evashop.r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Application>LibreOffice/7.3.7.2$Linux_X86_64 LibreOffice_project/30$Build-2</Application>
  <AppVersion>15.0000</AppVersion>
  <Pages>7</Pages>
  <Words>1376</Words>
  <Characters>8165</Characters>
  <CharactersWithSpaces>9506</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2025-07-21T13:08:00Z</dcterms:created>
  <dc:creator>Irena Tanaskovic</dc:creator>
  <dc:description/>
  <dc:language>en-US</dc:language>
  <cp:lastModifiedBy/>
  <dcterms:modified xsi:type="dcterms:W3CDTF">2025-09-15T10:16:24Z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